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2B" w:rsidRPr="007C65D0" w:rsidRDefault="00CF562B" w:rsidP="008970D3">
      <w:pPr>
        <w:spacing w:line="240" w:lineRule="auto"/>
        <w:ind w:left="-567" w:right="-567" w:firstLine="567"/>
        <w:jc w:val="both"/>
        <w:rPr>
          <w:b/>
          <w:i/>
        </w:rPr>
      </w:pPr>
      <w:r w:rsidRPr="007C65D0">
        <w:rPr>
          <w:b/>
          <w:i/>
        </w:rPr>
        <w:t>POLASKOM U ŠKOLU…</w:t>
      </w:r>
    </w:p>
    <w:p w:rsidR="00CF562B" w:rsidRPr="008970D3" w:rsidRDefault="00CF562B" w:rsidP="008970D3">
      <w:pPr>
        <w:spacing w:line="240" w:lineRule="auto"/>
        <w:ind w:left="-567" w:right="-567" w:firstLine="567"/>
        <w:jc w:val="both"/>
        <w:rPr>
          <w:i/>
        </w:rPr>
      </w:pPr>
      <w:r w:rsidRPr="008970D3">
        <w:t xml:space="preserve">„Dob od sedam godina, koja se podudara s nastupanjem zrelosti za školu, obilježava značajnu prekretnicu u psihičkom razvoju. Ma od kojeg aspekta psihičkog života polazili, možemo promatrati istupanje novih organizacijskih formi, bilo da je to inteligencija ili emocija, socijalni odnosi ili čisto individualno postupanje“ </w:t>
      </w:r>
      <w:r w:rsidRPr="008970D3">
        <w:rPr>
          <w:i/>
        </w:rPr>
        <w:t>J. Piaget</w:t>
      </w: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  <w:r w:rsidRPr="008970D3">
        <w:t>TJELESNI RAZVOJ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 w:rsidRPr="008970D3">
        <w:t xml:space="preserve">Tjelesni razvoj obuhvaća promjene u tjelesnom izgledu i motoričkim vještinama djeteta. Redoslijed motoričkih vještina u predškolskoj dobi je kod sve djece isti. </w:t>
      </w:r>
    </w:p>
    <w:p w:rsidR="00CF562B" w:rsidRPr="008970D3" w:rsidRDefault="00CF562B" w:rsidP="008970D3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</w:pPr>
      <w:r w:rsidRPr="008970D3">
        <w:rPr>
          <w:rFonts w:cs="MinionPro-Bold"/>
          <w:bCs/>
        </w:rPr>
        <w:t xml:space="preserve">Tjelesnu razvijenost </w:t>
      </w:r>
      <w:r w:rsidRPr="008970D3">
        <w:rPr>
          <w:rFonts w:eastAsia="MinionPro-Regular" w:cs="MinionPro-Regular"/>
        </w:rPr>
        <w:t xml:space="preserve">možemo procijeniti pomoću brojnih pokazatelja, među kojima su visina i težina najuočljiviji. Prosječna visina šestogodišnjih djevojčica iznosi oko </w:t>
      </w:r>
      <w:smartTag w:uri="urn:schemas-microsoft-com:office:smarttags" w:element="metricconverter">
        <w:smartTagPr>
          <w:attr w:name="ProductID" w:val="117 centimetara"/>
        </w:smartTagPr>
        <w:r w:rsidRPr="008970D3">
          <w:rPr>
            <w:rFonts w:eastAsia="MinionPro-Regular" w:cs="MinionPro-Regular"/>
          </w:rPr>
          <w:t>117 centimetara</w:t>
        </w:r>
      </w:smartTag>
      <w:r w:rsidRPr="008970D3">
        <w:rPr>
          <w:rFonts w:eastAsia="MinionPro-Regular" w:cs="MinionPro-Regular"/>
        </w:rPr>
        <w:t xml:space="preserve">, a šestogodišnjih dječaka oko </w:t>
      </w:r>
      <w:smartTag w:uri="urn:schemas-microsoft-com:office:smarttags" w:element="metricconverter">
        <w:smartTagPr>
          <w:attr w:name="ProductID" w:val="120 centimetara"/>
        </w:smartTagPr>
        <w:r w:rsidRPr="008970D3">
          <w:rPr>
            <w:rFonts w:eastAsia="MinionPro-Regular" w:cs="MinionPro-Regular"/>
          </w:rPr>
          <w:t>120 centimetara</w:t>
        </w:r>
      </w:smartTag>
      <w:r w:rsidRPr="008970D3">
        <w:rPr>
          <w:rFonts w:eastAsia="MinionPro-Regular" w:cs="MinionPro-Regular"/>
        </w:rPr>
        <w:t xml:space="preserve">. Šestogodišnja djevojčica u prosjeku je teška </w:t>
      </w:r>
      <w:smartTag w:uri="urn:schemas-microsoft-com:office:smarttags" w:element="metricconverter">
        <w:smartTagPr>
          <w:attr w:name="ProductID" w:val="18 kilograma"/>
        </w:smartTagPr>
        <w:r w:rsidRPr="008970D3">
          <w:rPr>
            <w:rFonts w:eastAsia="MinionPro-Regular" w:cs="MinionPro-Regular"/>
          </w:rPr>
          <w:t>18 kilograma</w:t>
        </w:r>
      </w:smartTag>
      <w:r w:rsidRPr="008970D3">
        <w:rPr>
          <w:rFonts w:eastAsia="MinionPro-Regular" w:cs="MinionPro-Regular"/>
        </w:rPr>
        <w:t xml:space="preserve">, a prosječni dječak iste dobi </w:t>
      </w:r>
      <w:smartTag w:uri="urn:schemas-microsoft-com:office:smarttags" w:element="metricconverter">
        <w:smartTagPr>
          <w:attr w:name="ProductID" w:val="19,5 kilograma"/>
        </w:smartTagPr>
        <w:r w:rsidRPr="008970D3">
          <w:rPr>
            <w:rFonts w:eastAsia="MinionPro-Regular" w:cs="MinionPro-Regular"/>
          </w:rPr>
          <w:t>19,5 kilograma</w:t>
        </w:r>
      </w:smartTag>
      <w:r w:rsidRPr="008970D3">
        <w:rPr>
          <w:rFonts w:eastAsia="MinionPro-Regular" w:cs="MinionPro-Regular"/>
        </w:rPr>
        <w:t xml:space="preserve">. U pogledu </w:t>
      </w:r>
      <w:r w:rsidRPr="008970D3">
        <w:rPr>
          <w:rFonts w:cs="MinionPro-Bold"/>
          <w:bCs/>
        </w:rPr>
        <w:t xml:space="preserve">motoričke spremnosti </w:t>
      </w:r>
      <w:r w:rsidRPr="008970D3">
        <w:rPr>
          <w:rFonts w:eastAsia="MinionPro-Regular" w:cs="MinionPro-Regular"/>
        </w:rPr>
        <w:t xml:space="preserve">dijete mora do polaska u školu usvojiti mnoge vještine – od hodanja, trčanja, oblačenja do usavršavanja fine pokretljivosti pojedinih mišića, kao preduvjeta za učenje složenih </w:t>
      </w:r>
      <w:proofErr w:type="spellStart"/>
      <w:r w:rsidRPr="008970D3">
        <w:rPr>
          <w:rFonts w:eastAsia="MinionPro-Regular" w:cs="MinionPro-Regular"/>
        </w:rPr>
        <w:t>psihomotoričkih</w:t>
      </w:r>
      <w:proofErr w:type="spellEnd"/>
      <w:r w:rsidRPr="008970D3">
        <w:rPr>
          <w:rFonts w:eastAsia="MinionPro-Regular" w:cs="MinionPro-Regular"/>
        </w:rPr>
        <w:t xml:space="preserve"> vještina poput pisanja i čitanja. Adekvatna psihomotorna razvijenost prvoškolca uključuje integraciju jednostavnih motornih akata u složene radnje. Nadalje, usavršava se koordinacija senzornih podataka s motornim aktima, što je osnova za preciznije i brže izvođenje već stečenih vještina, kao i temelj za usvajanje mnogih kompleksnih vještina kao što su pisanje i čitanje.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 w:rsidRPr="008970D3">
        <w:t xml:space="preserve">S polaskom u školu tjelesni rast se usporava. Djevojčice su u predškolskoj dobi nešto niže i lakše od dječaka, sve do 9. god. kada se nakratko izjednačuju. Kosti rastu brže od mišića, pa dijete osjeća bol poznatu kao bol rasta. Za razvoj mišića treba puno vježbe. 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  <w:r w:rsidRPr="008970D3">
        <w:t>KOGNITIVNI RAZVOJ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 w:rsidRPr="008970D3">
        <w:t>Kognitivni razvoj obuhvaća razvoj složenih misaonih procesa poput rasuđivanja, mišljenja, uočavanja i rješavanja problema te kreativnog stvaranja.</w:t>
      </w:r>
    </w:p>
    <w:p w:rsidR="00CF562B" w:rsidRPr="008970D3" w:rsidRDefault="00CF562B" w:rsidP="008970D3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eastAsia="MinionPro-Regular" w:cs="MinionPro-Regular"/>
        </w:rPr>
      </w:pPr>
      <w:r w:rsidRPr="008970D3">
        <w:rPr>
          <w:rFonts w:eastAsia="MinionPro-Regular" w:cs="MinionPro-Regular"/>
        </w:rPr>
        <w:t xml:space="preserve">Jedan od procesa uključenih u svladavanje čitanja, pisanja i upotrebe matematičkih simbola je </w:t>
      </w:r>
      <w:r w:rsidRPr="008970D3">
        <w:rPr>
          <w:rFonts w:eastAsia="MinionPro-It" w:cs="MinionPro-It"/>
          <w:i/>
          <w:iCs/>
        </w:rPr>
        <w:t>percepcija</w:t>
      </w:r>
      <w:r w:rsidRPr="008970D3">
        <w:rPr>
          <w:rFonts w:eastAsia="MinionPro-Regular" w:cs="MinionPro-Regular"/>
        </w:rPr>
        <w:t xml:space="preserve">, vidna i slušna. Percepcija šestogodišnje djece još nije razvijena kao kod starije djece i odraslih. Još nije u potpunosti uspostavljena konstantnost percepcije, što ih može ometati u početnom čitanju i pisanju. Šestogodišnje dijete prilično sigurno opaža prostorne i vremenske odnose, razlikuje osnovne boje, te diskriminira različite oblike i veličinu predmeta. Značajnu funkciju unutar kognitivne spremnosti zauzima i </w:t>
      </w:r>
      <w:r w:rsidRPr="008970D3">
        <w:rPr>
          <w:rFonts w:eastAsia="MinionPro-It" w:cs="MinionPro-It"/>
          <w:i/>
          <w:iCs/>
        </w:rPr>
        <w:t xml:space="preserve">pažnja </w:t>
      </w:r>
      <w:r w:rsidRPr="008970D3">
        <w:rPr>
          <w:rFonts w:eastAsia="MinionPro-Regular" w:cs="MinionPro-Regular"/>
        </w:rPr>
        <w:t xml:space="preserve">koja označava selektivnu usmjerenost na određene aspekte situacije. Svojstva pažnje koja imaju veliku važnost za uspješno učenje su njen opseg i stabilnost. Namjerna pažnja šestogodišnjaka ne traje dugo i iznosi 10 – 15 minuta, o čemu treba voditi računa pri organiziranju nastave. </w:t>
      </w:r>
      <w:r>
        <w:rPr>
          <w:rFonts w:eastAsia="MinionPro-Regular" w:cs="MinionPro-Regular"/>
        </w:rPr>
        <w:t xml:space="preserve">Sistematskim nastavnim radom, pažnja se brzo povećava. </w:t>
      </w:r>
      <w:r w:rsidRPr="008970D3">
        <w:rPr>
          <w:rFonts w:eastAsia="MinionPro-Regular" w:cs="MinionPro-Regular"/>
        </w:rPr>
        <w:t xml:space="preserve">U području </w:t>
      </w:r>
      <w:r w:rsidRPr="008970D3">
        <w:rPr>
          <w:rFonts w:eastAsia="MinionPro-It" w:cs="MinionPro-It"/>
          <w:i/>
          <w:iCs/>
        </w:rPr>
        <w:t xml:space="preserve">pamćenja </w:t>
      </w:r>
      <w:r w:rsidRPr="008970D3">
        <w:rPr>
          <w:rFonts w:eastAsia="MinionPro-Regular" w:cs="MinionPro-Regular"/>
        </w:rPr>
        <w:t xml:space="preserve">pretpostavka je da je dijete do polaska u školu naučilo razlikovati opažanje od učenja, da može spontano upotrebljavati neke od strategija zapamćivanja, npr. ponavljanje. Što se tiče razvijenosti </w:t>
      </w:r>
      <w:r w:rsidRPr="008970D3">
        <w:rPr>
          <w:rFonts w:eastAsia="MinionPro-It" w:cs="MinionPro-It"/>
          <w:i/>
          <w:iCs/>
        </w:rPr>
        <w:t>mišljenja</w:t>
      </w:r>
      <w:r w:rsidRPr="008970D3">
        <w:rPr>
          <w:rFonts w:eastAsia="MinionPro-Regular" w:cs="MinionPro-Regular"/>
        </w:rPr>
        <w:t>, očekuje se da dijete ima djelomičnu mogućnost izvođenja konkretnih misaonih operacija. Treba raspolagati određenim fondom pojmova iz vlastite okoline, zatim nekim pojmovima kvantiteta i uspoređivanja istog, pojmova koji označavaju prostorne odnose, kao i nekim vremenskim pojmovima. U procesu mišljenja treba se u određenoj mjeri služiti osnovnim misaonim operacijama analize, sinteze, apstrakcije i generalizacije. Analiza i sinteza su vezane uz konkretnost, a upravo su ti procesi baza mnogih školskih aktivnosti, pisanja, čitanja i računanja. Razvijenost operacija apstrakcije i generalizacije omogućava prvoškolcima primjenu određenih pravila i generalizacija što ih zahtjeva učenje pravopisa, te različitih matematičkih pravila i uputa.</w:t>
      </w:r>
    </w:p>
    <w:p w:rsidR="00CF562B" w:rsidRPr="008970D3" w:rsidRDefault="00CF562B" w:rsidP="008970D3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</w:pPr>
      <w:proofErr w:type="spellStart"/>
      <w:r w:rsidRPr="008970D3">
        <w:rPr>
          <w:rFonts w:eastAsia="MinionPro-Regular" w:cs="MinionPro-Regular"/>
          <w:i/>
        </w:rPr>
        <w:t>Predoperacijsko</w:t>
      </w:r>
      <w:proofErr w:type="spellEnd"/>
      <w:r w:rsidRPr="008970D3">
        <w:rPr>
          <w:rFonts w:eastAsia="MinionPro-Regular" w:cs="MinionPro-Regular"/>
          <w:i/>
        </w:rPr>
        <w:t xml:space="preserve"> razdoblje</w:t>
      </w:r>
      <w:r w:rsidRPr="008970D3">
        <w:rPr>
          <w:rFonts w:eastAsia="MinionPro-Regular" w:cs="MinionPro-Regular"/>
        </w:rPr>
        <w:t xml:space="preserve"> (2 do 7 god)- </w:t>
      </w:r>
      <w:proofErr w:type="spellStart"/>
      <w:r w:rsidRPr="008970D3">
        <w:rPr>
          <w:rFonts w:eastAsia="MinionPro-Regular" w:cs="MinionPro-Regular"/>
        </w:rPr>
        <w:t>Piagetova</w:t>
      </w:r>
      <w:proofErr w:type="spellEnd"/>
      <w:r w:rsidRPr="008970D3">
        <w:rPr>
          <w:rFonts w:eastAsia="MinionPro-Regular" w:cs="MinionPro-Regular"/>
        </w:rPr>
        <w:t xml:space="preserve"> teorija kognitivnog razvoja</w:t>
      </w:r>
    </w:p>
    <w:p w:rsidR="00CF562B" w:rsidRPr="008970D3" w:rsidRDefault="00CF562B" w:rsidP="008970D3">
      <w:pPr>
        <w:pStyle w:val="Podnaslov"/>
        <w:spacing w:line="240" w:lineRule="auto"/>
        <w:ind w:left="-567" w:right="-567" w:firstLine="567"/>
        <w:jc w:val="both"/>
        <w:rPr>
          <w:rStyle w:val="Istaknutareferenca"/>
          <w:rFonts w:ascii="Calibri" w:hAnsi="Calibri"/>
          <w:b w:val="0"/>
          <w:bCs w:val="0"/>
          <w:i w:val="0"/>
          <w:smallCaps w:val="0"/>
          <w:color w:val="auto"/>
          <w:spacing w:val="0"/>
          <w:sz w:val="22"/>
          <w:szCs w:val="22"/>
          <w:u w:val="none"/>
        </w:rPr>
      </w:pPr>
      <w:r w:rsidRPr="008970D3">
        <w:rPr>
          <w:rStyle w:val="Istaknutareferenca"/>
          <w:rFonts w:ascii="Calibri" w:hAnsi="Calibri"/>
          <w:b w:val="0"/>
          <w:bCs w:val="0"/>
          <w:i w:val="0"/>
          <w:smallCaps w:val="0"/>
          <w:color w:val="auto"/>
          <w:spacing w:val="0"/>
          <w:sz w:val="22"/>
          <w:szCs w:val="22"/>
          <w:u w:val="none"/>
        </w:rPr>
        <w:t>Dolazi do pomaka u razvoju govora i stjecanju pojmova. Dječje mišljenje se još uvijek bitno razlikuje od logičkog razmišljanja odraslih.</w:t>
      </w:r>
    </w:p>
    <w:p w:rsidR="00CF562B" w:rsidRPr="008970D3" w:rsidRDefault="00CF562B" w:rsidP="008970D3">
      <w:pPr>
        <w:pStyle w:val="Podnaslov"/>
        <w:spacing w:line="240" w:lineRule="auto"/>
        <w:ind w:left="-567" w:right="-567" w:firstLine="567"/>
        <w:jc w:val="both"/>
        <w:rPr>
          <w:rStyle w:val="Istaknutareferenca"/>
          <w:rFonts w:ascii="Calibri" w:hAnsi="Calibri"/>
          <w:b w:val="0"/>
          <w:bCs w:val="0"/>
          <w:smallCaps w:val="0"/>
          <w:color w:val="auto"/>
          <w:sz w:val="22"/>
          <w:szCs w:val="22"/>
          <w:u w:val="none"/>
        </w:rPr>
      </w:pPr>
      <w:r w:rsidRPr="008970D3">
        <w:rPr>
          <w:rStyle w:val="Istaknutareferenca"/>
          <w:rFonts w:ascii="Calibri" w:hAnsi="Calibri"/>
          <w:b w:val="0"/>
          <w:bCs w:val="0"/>
          <w:smallCaps w:val="0"/>
          <w:color w:val="auto"/>
          <w:sz w:val="22"/>
          <w:szCs w:val="22"/>
          <w:u w:val="none"/>
        </w:rPr>
        <w:t xml:space="preserve">Šest obilježja </w:t>
      </w:r>
      <w:proofErr w:type="spellStart"/>
      <w:r w:rsidRPr="008970D3">
        <w:rPr>
          <w:rStyle w:val="Istaknutareferenca"/>
          <w:rFonts w:ascii="Calibri" w:hAnsi="Calibri"/>
          <w:b w:val="0"/>
          <w:bCs w:val="0"/>
          <w:smallCaps w:val="0"/>
          <w:color w:val="auto"/>
          <w:sz w:val="22"/>
          <w:szCs w:val="22"/>
          <w:u w:val="none"/>
        </w:rPr>
        <w:t>predoperacijske</w:t>
      </w:r>
      <w:proofErr w:type="spellEnd"/>
      <w:r w:rsidRPr="008970D3">
        <w:rPr>
          <w:rStyle w:val="Istaknutareferenca"/>
          <w:rFonts w:ascii="Calibri" w:hAnsi="Calibri"/>
          <w:b w:val="0"/>
          <w:bCs w:val="0"/>
          <w:smallCaps w:val="0"/>
          <w:color w:val="auto"/>
          <w:sz w:val="22"/>
          <w:szCs w:val="22"/>
          <w:u w:val="none"/>
        </w:rPr>
        <w:t xml:space="preserve"> misli:</w:t>
      </w:r>
    </w:p>
    <w:p w:rsidR="00CF562B" w:rsidRPr="008970D3" w:rsidRDefault="00CF562B" w:rsidP="008970D3">
      <w:pPr>
        <w:pStyle w:val="Bezproreda"/>
        <w:numPr>
          <w:ilvl w:val="0"/>
          <w:numId w:val="3"/>
        </w:numPr>
        <w:ind w:left="-709" w:right="-567" w:firstLine="567"/>
        <w:jc w:val="both"/>
        <w:rPr>
          <w:rStyle w:val="Istaknutareferenca"/>
          <w:b w:val="0"/>
          <w:bCs w:val="0"/>
          <w:smallCaps w:val="0"/>
          <w:color w:val="auto"/>
          <w:u w:val="none"/>
        </w:rPr>
      </w:pPr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Konkretnost- dijete je usmjereno na razmišljanje o prisutnim predmetima ili onima koji su povezani s trenutnom situacijom</w:t>
      </w:r>
    </w:p>
    <w:p w:rsidR="00CF562B" w:rsidRPr="008970D3" w:rsidRDefault="00CF562B" w:rsidP="008970D3">
      <w:pPr>
        <w:pStyle w:val="Bezproreda"/>
        <w:numPr>
          <w:ilvl w:val="0"/>
          <w:numId w:val="3"/>
        </w:numPr>
        <w:ind w:left="-709" w:right="-567" w:firstLine="567"/>
        <w:jc w:val="both"/>
        <w:rPr>
          <w:rStyle w:val="Istaknutareferenca"/>
          <w:b w:val="0"/>
          <w:bCs w:val="0"/>
          <w:smallCaps w:val="0"/>
          <w:color w:val="auto"/>
          <w:u w:val="none"/>
        </w:rPr>
      </w:pPr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Ireverzibilnost- nemogućnost logičkog povezivanja uzajamno ovisnih predodžbi</w:t>
      </w:r>
    </w:p>
    <w:p w:rsidR="00CF562B" w:rsidRPr="008970D3" w:rsidRDefault="00CF562B" w:rsidP="008970D3">
      <w:pPr>
        <w:pStyle w:val="Bezproreda"/>
        <w:numPr>
          <w:ilvl w:val="0"/>
          <w:numId w:val="3"/>
        </w:numPr>
        <w:ind w:left="-567" w:right="-567" w:firstLine="425"/>
        <w:jc w:val="both"/>
        <w:rPr>
          <w:rStyle w:val="Istaknutareferenca"/>
          <w:b w:val="0"/>
          <w:bCs w:val="0"/>
          <w:smallCaps w:val="0"/>
          <w:color w:val="auto"/>
          <w:u w:val="none"/>
        </w:rPr>
      </w:pPr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Egocentrizam- dijete se ponaša kao da svi oko njega znaju ili vide ono što i ono opaža ili zna</w:t>
      </w:r>
    </w:p>
    <w:p w:rsidR="00CF562B" w:rsidRPr="008970D3" w:rsidRDefault="00CF562B" w:rsidP="008970D3">
      <w:pPr>
        <w:pStyle w:val="Bezproreda"/>
        <w:numPr>
          <w:ilvl w:val="0"/>
          <w:numId w:val="3"/>
        </w:numPr>
        <w:ind w:left="-567" w:right="-567" w:firstLine="425"/>
        <w:jc w:val="both"/>
        <w:rPr>
          <w:rStyle w:val="Istaknutareferenca"/>
          <w:b w:val="0"/>
          <w:bCs w:val="0"/>
          <w:smallCaps w:val="0"/>
          <w:color w:val="auto"/>
          <w:u w:val="none"/>
        </w:rPr>
      </w:pPr>
      <w:proofErr w:type="spellStart"/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Centracija</w:t>
      </w:r>
      <w:proofErr w:type="spellEnd"/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- usmjeravanje samo na jedan aspekt situacije</w:t>
      </w:r>
    </w:p>
    <w:p w:rsidR="00CF562B" w:rsidRPr="008970D3" w:rsidRDefault="00CF562B" w:rsidP="008970D3">
      <w:pPr>
        <w:pStyle w:val="Bezproreda"/>
        <w:numPr>
          <w:ilvl w:val="0"/>
          <w:numId w:val="3"/>
        </w:numPr>
        <w:ind w:left="-567" w:right="-567" w:firstLine="425"/>
        <w:jc w:val="both"/>
        <w:rPr>
          <w:rStyle w:val="Istaknutareferenca"/>
          <w:b w:val="0"/>
          <w:bCs w:val="0"/>
          <w:smallCaps w:val="0"/>
          <w:color w:val="auto"/>
          <w:u w:val="none"/>
        </w:rPr>
      </w:pPr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lastRenderedPageBreak/>
        <w:t>Ovisnost o percepciji- usmjerenost na trenutno stanje ili oblik onoga što dijete opaža što onemogućava usporedbu s prethodnim stanjem ili oblikom, te stvara teškoće u prosuđivanju promjena</w:t>
      </w:r>
    </w:p>
    <w:p w:rsidR="00CF562B" w:rsidRPr="008970D3" w:rsidRDefault="00CF562B" w:rsidP="008970D3">
      <w:pPr>
        <w:pStyle w:val="Bezproreda"/>
        <w:numPr>
          <w:ilvl w:val="0"/>
          <w:numId w:val="3"/>
        </w:numPr>
        <w:ind w:left="-567" w:right="-567" w:firstLine="425"/>
        <w:jc w:val="both"/>
        <w:rPr>
          <w:rStyle w:val="Istaknutareferenca"/>
          <w:b w:val="0"/>
          <w:bCs w:val="0"/>
          <w:smallCaps w:val="0"/>
          <w:color w:val="auto"/>
          <w:u w:val="none"/>
        </w:rPr>
      </w:pPr>
      <w:proofErr w:type="spellStart"/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Transduktivno</w:t>
      </w:r>
      <w:proofErr w:type="spellEnd"/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 xml:space="preserve"> prosuđivanje- djetetova nemogućnost međusobnog povezivanja i uspoređivanja poznatih pojmova</w:t>
      </w:r>
    </w:p>
    <w:p w:rsidR="00CF562B" w:rsidRPr="008970D3" w:rsidRDefault="00CF562B" w:rsidP="008970D3">
      <w:pPr>
        <w:pStyle w:val="Bezproreda"/>
        <w:ind w:left="-567" w:right="-567" w:firstLine="567"/>
        <w:jc w:val="both"/>
        <w:rPr>
          <w:rStyle w:val="Istaknutareferenca"/>
          <w:b w:val="0"/>
          <w:bCs w:val="0"/>
          <w:smallCaps w:val="0"/>
          <w:color w:val="auto"/>
        </w:rPr>
      </w:pPr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 xml:space="preserve">Ova svojstva djeluju kao ograničenja </w:t>
      </w:r>
      <w:proofErr w:type="spellStart"/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>predoperacijske</w:t>
      </w:r>
      <w:proofErr w:type="spellEnd"/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 xml:space="preserve"> misli i ometaju dijete u logičkom prosuđivanju koje počiva na načelima konverzacije. Konverzacija je pojam koji se odnosi na međusobnu neovisnost nekih svojstava predmeta. </w:t>
      </w:r>
    </w:p>
    <w:p w:rsidR="00CF562B" w:rsidRPr="008970D3" w:rsidRDefault="00CF562B" w:rsidP="008970D3">
      <w:pPr>
        <w:pStyle w:val="Bezproreda"/>
        <w:ind w:left="-567" w:right="-567" w:firstLine="567"/>
        <w:jc w:val="both"/>
        <w:rPr>
          <w:rStyle w:val="Neupadljivoisticanje"/>
          <w:i w:val="0"/>
          <w:iCs w:val="0"/>
          <w:color w:val="auto"/>
        </w:rPr>
      </w:pPr>
      <w:r w:rsidRPr="008970D3">
        <w:rPr>
          <w:rStyle w:val="Istaknutareferenca"/>
          <w:b w:val="0"/>
          <w:bCs w:val="0"/>
          <w:smallCaps w:val="0"/>
          <w:color w:val="auto"/>
          <w:u w:val="none"/>
        </w:rPr>
        <w:t xml:space="preserve"> </w:t>
      </w:r>
      <w:r w:rsidRPr="008970D3">
        <w:rPr>
          <w:i/>
        </w:rPr>
        <w:t xml:space="preserve">Teorija kognitivnog razvoja Lava </w:t>
      </w:r>
      <w:proofErr w:type="spellStart"/>
      <w:r w:rsidRPr="008970D3">
        <w:rPr>
          <w:i/>
        </w:rPr>
        <w:t>Vigotskog</w:t>
      </w:r>
      <w:proofErr w:type="spellEnd"/>
    </w:p>
    <w:p w:rsidR="00CF562B" w:rsidRPr="008970D3" w:rsidRDefault="00CF562B" w:rsidP="008970D3">
      <w:pPr>
        <w:pStyle w:val="Bezproreda"/>
        <w:ind w:left="-567" w:right="-567" w:firstLine="567"/>
        <w:jc w:val="both"/>
        <w:rPr>
          <w:rStyle w:val="Neupadljivoisticanje"/>
          <w:i w:val="0"/>
          <w:iCs w:val="0"/>
          <w:color w:val="auto"/>
        </w:rPr>
      </w:pPr>
      <w:r w:rsidRPr="008970D3">
        <w:rPr>
          <w:rStyle w:val="Neupadljivoisticanje"/>
          <w:i w:val="0"/>
          <w:iCs w:val="0"/>
          <w:color w:val="auto"/>
        </w:rPr>
        <w:t>Područje približnog razvoja – učenje je najdjelotvornije kada se dijete poučava u okviru približnog razvoja. Kada dijete samostalno radi, pokazuje stvarnu razinu svojih sposobnosti, a kada radi zajedno s odraslom osobom, otkriva se potencijalna razina njegovih sposobnosti.</w:t>
      </w:r>
    </w:p>
    <w:p w:rsidR="00CF562B" w:rsidRDefault="00CF562B" w:rsidP="008970D3">
      <w:pPr>
        <w:pStyle w:val="Bezproreda"/>
        <w:ind w:left="-567" w:right="-567" w:firstLine="567"/>
        <w:jc w:val="both"/>
        <w:rPr>
          <w:rStyle w:val="Neupadljivoisticanje"/>
          <w:i w:val="0"/>
          <w:iCs w:val="0"/>
          <w:color w:val="auto"/>
        </w:rPr>
      </w:pPr>
      <w:r w:rsidRPr="008970D3">
        <w:rPr>
          <w:rStyle w:val="Neupadljivoisticanje"/>
          <w:i w:val="0"/>
          <w:iCs w:val="0"/>
          <w:color w:val="auto"/>
        </w:rPr>
        <w:t>Područje pokriva raspon između dvije razine funkcioniranja: one na kojoj učenik samostalno izvodi zadatke (donja granica) i one na kojoj još ne može samostalno savladati zadatak, ali ga može riješiti uz pomoć odraslih (gornja granica). Djeca iste dobi međusobno se razlikuju u širini područja približnog razvoja, što znači da se djeca razlikuju u stupnju poučljivosti. Neka djeca uz malu pomoć sa strane mogu brzo napredovati u učenju, dok drugoj ta pomoć neće mnogo koristiti.</w:t>
      </w:r>
    </w:p>
    <w:p w:rsidR="00CF562B" w:rsidRDefault="00CF562B" w:rsidP="008970D3">
      <w:pPr>
        <w:pStyle w:val="Bezproreda"/>
        <w:ind w:left="-567" w:right="-567" w:firstLine="567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Važne predškolske matematičke vještine:</w:t>
      </w:r>
    </w:p>
    <w:p w:rsidR="00CF562B" w:rsidRDefault="00CF562B" w:rsidP="00BA23D7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7F0EA6">
        <w:rPr>
          <w:i/>
        </w:rPr>
        <w:t>Brojenje</w:t>
      </w:r>
      <w:r>
        <w:t>- sposobnost brojenja predmeta se razvija u dobi od oko 3 godine i pomaže djetetu usvajanje pojma broja, pa i zbrajanja i oduzimanja</w:t>
      </w:r>
    </w:p>
    <w:p w:rsidR="00CF562B" w:rsidRPr="008970D3" w:rsidRDefault="00CF562B" w:rsidP="00BA23D7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7F0EA6">
        <w:rPr>
          <w:i/>
        </w:rPr>
        <w:t>Pojam broja</w:t>
      </w:r>
      <w:r>
        <w:t>- sposobnost djeteta da prepozna brojke u pisanom obliku (5,8,9), da koristi pojmove „više“</w:t>
      </w:r>
    </w:p>
    <w:p w:rsidR="00CF562B" w:rsidRDefault="00CF562B" w:rsidP="00BA23D7">
      <w:pPr>
        <w:pStyle w:val="Bezproreda"/>
        <w:ind w:left="180" w:right="-567"/>
        <w:jc w:val="both"/>
      </w:pPr>
      <w:r>
        <w:t>i „manje“ za uspoređivanje i da počne povezivati zbrajanje s „kombinacijom“ dviju skupina predmeta i oduzimanje sa „stavljanjem sa strane“</w:t>
      </w:r>
    </w:p>
    <w:p w:rsidR="00CF562B" w:rsidRDefault="00CF562B" w:rsidP="00BA23D7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7F0EA6">
        <w:rPr>
          <w:i/>
        </w:rPr>
        <w:t>Pravilnosti</w:t>
      </w:r>
      <w:r>
        <w:t>- sposobnost uočavanja da niz predmeta čini pravilnost koja pomaže u shvaćanju svijeta oko sebe i predviđanja, čime lakše razumiju zakonitosti vezane uz odnose brojeva</w:t>
      </w:r>
    </w:p>
    <w:p w:rsidR="00CF562B" w:rsidRDefault="00CF562B" w:rsidP="00BA23D7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7F0EA6">
        <w:rPr>
          <w:i/>
        </w:rPr>
        <w:t>Oblik i prostor</w:t>
      </w:r>
      <w:r>
        <w:t xml:space="preserve">- sposobnost prepoznavanja, razvrstavanja i kategoriziranja predmeta po veličini i obliku, što je važno u </w:t>
      </w:r>
      <w:proofErr w:type="spellStart"/>
      <w:r>
        <w:t>geometriji,a</w:t>
      </w:r>
      <w:proofErr w:type="spellEnd"/>
      <w:r>
        <w:t xml:space="preserve"> li i pisanju</w:t>
      </w:r>
    </w:p>
    <w:p w:rsidR="00CF562B" w:rsidRDefault="00CF562B" w:rsidP="00BA23D7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7F0EA6">
        <w:rPr>
          <w:i/>
        </w:rPr>
        <w:t>Mjerenje i uspoređivanje</w:t>
      </w:r>
      <w:r>
        <w:t>- iskustvo jednostavnih mjerenja djeci omogućuje razvoj fonda riječi (pr. teže/lakše)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</w:p>
    <w:p w:rsidR="00CF562B" w:rsidRPr="008970D3" w:rsidRDefault="00CF562B" w:rsidP="006A4AE1">
      <w:pPr>
        <w:spacing w:line="240" w:lineRule="auto"/>
        <w:ind w:left="-567" w:right="-567" w:firstLine="567"/>
        <w:jc w:val="both"/>
      </w:pPr>
      <w:r w:rsidRPr="008970D3">
        <w:t>SOCIJALNI I EMOCIONALNI RAZVOJ</w:t>
      </w:r>
    </w:p>
    <w:p w:rsidR="00CF562B" w:rsidRPr="008970D3" w:rsidRDefault="00CF562B" w:rsidP="006A4AE1">
      <w:pPr>
        <w:pStyle w:val="Bezproreda"/>
        <w:ind w:left="-567" w:right="-567" w:firstLine="567"/>
        <w:jc w:val="both"/>
      </w:pPr>
      <w:r w:rsidRPr="008970D3">
        <w:t>Učenici u početnim razredima osnovne škole bore se s krizama inicijativa – krivnja i marljivost – inferiornost (</w:t>
      </w:r>
      <w:r w:rsidRPr="008970D3">
        <w:rPr>
          <w:i/>
        </w:rPr>
        <w:t xml:space="preserve">prema </w:t>
      </w:r>
      <w:proofErr w:type="spellStart"/>
      <w:r w:rsidRPr="008970D3">
        <w:rPr>
          <w:i/>
        </w:rPr>
        <w:t>Eriksonovoj</w:t>
      </w:r>
      <w:proofErr w:type="spellEnd"/>
      <w:r w:rsidRPr="008970D3">
        <w:rPr>
          <w:i/>
        </w:rPr>
        <w:t xml:space="preserve"> teoriji psihosocijalnog razvoja</w:t>
      </w:r>
      <w:r w:rsidRPr="008970D3">
        <w:t>)</w:t>
      </w:r>
    </w:p>
    <w:p w:rsidR="00CF562B" w:rsidRPr="008970D3" w:rsidRDefault="00CF562B" w:rsidP="006A4AE1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8970D3">
        <w:t>zakočena djeca- trebaju poticaj za istraživanje, zadovoljiti svoju radoznalost, postavljati pitanja, daju prijedloge i pokazuju inicijativu, shvate da su pogreške normalna stvar</w:t>
      </w:r>
    </w:p>
    <w:p w:rsidR="00CF562B" w:rsidRPr="008970D3" w:rsidRDefault="00CF562B" w:rsidP="006A4AE1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8970D3">
        <w:t>učenici koji se brinu oko toga kakav će uspjeh postići- usmjeriti ih na osobni napredak i razvoj sposobnosti, a manje na usporedbu s drugima</w:t>
      </w:r>
    </w:p>
    <w:p w:rsidR="00CF562B" w:rsidRPr="008970D3" w:rsidRDefault="00CF562B" w:rsidP="006A4AE1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8970D3">
        <w:t>učenici s osjećajem manje vrijednosti- biti realan, suočiti učenika s lošim uspjehom i podržati ga, učiti ga da se uspoređuje sam sa sobom i da uočava svoj napredak</w:t>
      </w:r>
    </w:p>
    <w:p w:rsidR="00CF562B" w:rsidRPr="008970D3" w:rsidRDefault="00CF562B" w:rsidP="006A4AE1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8970D3">
        <w:t>učenici koji tvrde da ne mogu nešto naučiti – potrebno im je razuvjeravanje</w:t>
      </w:r>
    </w:p>
    <w:p w:rsidR="00CF562B" w:rsidRPr="008970D3" w:rsidRDefault="00CF562B" w:rsidP="006A4AE1">
      <w:pPr>
        <w:pStyle w:val="Bezproreda"/>
        <w:numPr>
          <w:ilvl w:val="0"/>
          <w:numId w:val="11"/>
        </w:numPr>
        <w:ind w:left="284" w:right="-567" w:hanging="284"/>
        <w:jc w:val="both"/>
      </w:pPr>
      <w:r w:rsidRPr="008970D3">
        <w:t>učenici koji su iskazuju bunt prema autoritetima – ne ulaziti u otvorenu borbu za moć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</w:p>
    <w:p w:rsidR="00CF562B" w:rsidRDefault="00CF562B" w:rsidP="008970D3">
      <w:pPr>
        <w:spacing w:line="240" w:lineRule="auto"/>
        <w:ind w:left="-567" w:right="-567" w:firstLine="567"/>
        <w:jc w:val="both"/>
      </w:pPr>
      <w:r w:rsidRPr="008970D3">
        <w:t>MORALNI RAZVOJ, PREDKONVENCIONALNA FAZA  (</w:t>
      </w:r>
      <w:proofErr w:type="spellStart"/>
      <w:r w:rsidRPr="008970D3">
        <w:t>Kohlberg</w:t>
      </w:r>
      <w:proofErr w:type="spellEnd"/>
      <w:r w:rsidRPr="008970D3">
        <w:t xml:space="preserve">)- od 4. do 10. god. </w:t>
      </w: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  <w:r w:rsidRPr="008970D3">
        <w:t>1. stupanj: Fizičke posljedice ponašanja određuju je li ponašanje bilo dobro ili loše. Moralnost određuje autoritet čije zahtjeve djeca poštuju kako bi postigla nagradu ili izbjegla kaznu.</w:t>
      </w:r>
    </w:p>
    <w:p w:rsidR="00CF562B" w:rsidRDefault="00CF562B" w:rsidP="008970D3">
      <w:pPr>
        <w:pStyle w:val="Bezproreda"/>
        <w:ind w:left="-567" w:right="-567" w:firstLine="567"/>
        <w:jc w:val="both"/>
      </w:pPr>
      <w:r w:rsidRPr="008970D3">
        <w:t>2. stupanj: Moralnost ponašanja vide kroz vlastite potrebe i ciljeve, no svjesna su da i drugi ljudi imaju svoje interese. Uviđaju važnost pravednosti i uzajamnosti. Pravila poštuju pažljivo motreći što mogu dobiti za uzvrat.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</w:p>
    <w:p w:rsidR="00CF562B" w:rsidRPr="008970D3" w:rsidRDefault="00CF562B" w:rsidP="00965ADC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</w:pPr>
      <w:r>
        <w:rPr>
          <w:rFonts w:eastAsia="MinionPro-Regular" w:cs="MinionPro-Regular"/>
        </w:rPr>
        <w:t xml:space="preserve">Emocionalno reagiranje je pri polasku u školu najčešće burno, intenzivno, emocije su vidljive i očite, a dijete lakše prihvaća zahtjeve i ograničenja. Razvijenije sposobnosti i veće iskustvo omogućuju bolji uvid u učinke njegovog ponašanja na druge. </w:t>
      </w:r>
    </w:p>
    <w:p w:rsidR="00CF562B" w:rsidRDefault="00CF562B" w:rsidP="008970D3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eastAsia="MinionPro-Regular" w:cs="MinionPro-Regular"/>
        </w:rPr>
      </w:pPr>
      <w:r w:rsidRPr="008970D3">
        <w:rPr>
          <w:rFonts w:eastAsia="MinionPro-Regular" w:cs="MinionPro-Regular"/>
        </w:rPr>
        <w:t xml:space="preserve">Emocionalno spremno dijete razvilo je određenu razinu tolerancije na frustracije što će mu pomoći pri ustrajavanju u učenju i manje zanimljivog gradiva. Takvo dijete prihvaća i školsku disciplinu, može kontrolirati svoje </w:t>
      </w:r>
      <w:r w:rsidRPr="008970D3">
        <w:rPr>
          <w:rFonts w:eastAsia="MinionPro-Regular" w:cs="MinionPro-Regular"/>
        </w:rPr>
        <w:lastRenderedPageBreak/>
        <w:t>postupke što dovodi i do prihvaćenosti od strane vršnjaka.</w:t>
      </w:r>
      <w:r w:rsidRPr="008970D3">
        <w:t xml:space="preserve"> Socijalna mreža postupno se širi od roditelja, preko ostalih članova obitelji i drugih odraslih osoba do vršnjaka. Osim vlastitog doma dijete poznaje susjedstvo i vrtić. </w:t>
      </w:r>
      <w:r w:rsidRPr="008970D3">
        <w:rPr>
          <w:rFonts w:eastAsia="MinionPro-Regular" w:cs="MinionPro-Regular"/>
        </w:rPr>
        <w:t xml:space="preserve">Usvojenost socijalnih vještina djetetu omogućava dobru prihvaćenost od strane njegovih vršnjaka </w:t>
      </w:r>
      <w:r>
        <w:rPr>
          <w:rFonts w:eastAsia="MinionPro-Regular" w:cs="MinionPro-Regular"/>
        </w:rPr>
        <w:t xml:space="preserve">i kolega u razredu, pa </w:t>
      </w:r>
      <w:r w:rsidRPr="008970D3">
        <w:rPr>
          <w:rFonts w:eastAsia="MinionPro-Regular" w:cs="MinionPro-Regular"/>
        </w:rPr>
        <w:t>lakše razvija samopouzdanje i samopoštovanje, realnije procjenjuje svoje mogućnosti i sposobnosti, te zbog toga radosnije pristupa školi i učenju.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 w:rsidRPr="008970D3">
        <w:t>Vršnjaci imaju značajnu ulogu u djetetovom socijalnom i kognitivnom razvoju. Igra s vršnjacima omogućuje djetetu odnose s drugom djecom. Kroz igru dijete uči surađivati i razrješavati sukobe koji omogućuju uvid kako drugi mogu imati različita razmišljanja, osjećaje i gledišta od njegovih, te pomoći djetetu da uoči učinke svoga ponašanja na druge. U predškolskoj dobi djeca gledaju na prijatelje kao na trenutne partnere za igru. Odnos se temelji na situaciji, a ne na zajedničkim interesima i uvjerenjima. Kad krenu u školu, prijateljstva su stabilnija, a temelje se na međusobnoj podršci, brizi, lojalnosti i obostranom davanju i uzimanju.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 w:rsidRPr="008970D3">
        <w:t>U nižim razredima osnovne škole grupe vršnjaka se sastoje od djece istog spola i dobi. Prija</w:t>
      </w:r>
      <w:r>
        <w:t xml:space="preserve">teljstva su </w:t>
      </w:r>
      <w:r w:rsidRPr="008970D3">
        <w:t xml:space="preserve">usmjerena na zajedničke interese ili sudjelovanje u aktivnostima u kojima uživaju. Dječaci su usmjereni na sportske i ostale fizičke aktivnosti, a djevojčice na socijalnu interakciju. 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 w:rsidRPr="008970D3">
        <w:t>Djeca predškolske dobi razmišljaju o sebi uglavnom u terminima konkretnog, tjelesnih i materijalnih osobina. Kad krenu u školu, njihov opis se pomiče na apstraktnije</w:t>
      </w:r>
      <w:r>
        <w:t>,</w:t>
      </w:r>
      <w:r w:rsidRPr="008970D3">
        <w:t xml:space="preserve"> poput inteligencije i ljubaznosti, te počinju praviti razliku između svog unutarnjeg ja i vanjskog ja.</w:t>
      </w:r>
    </w:p>
    <w:p w:rsidR="00CF562B" w:rsidRDefault="00CF562B" w:rsidP="008970D3">
      <w:pPr>
        <w:pStyle w:val="Bezproreda"/>
        <w:ind w:left="-567" w:right="-567" w:firstLine="567"/>
        <w:jc w:val="both"/>
      </w:pPr>
      <w:r w:rsidRPr="008970D3">
        <w:t>U razdoblju srednjeg djetinjstva djeca vrednuju sebe uspoređujući se s vršnjacima. Samopoštovanje opada polaskom u osnovnu školu, zbog sve češćeg procjenjivanja u školi, kao i toga što se počinje odnositi na više zasebnih osobina. Budući da na samopoštovanje utječu postupci roditelja i odgojitelja, pozitivnu sliku o sebi i visoko samopoštovanje će imati ona djeca čiji roditelji/odgojitelji pokazuju realna očekivanja, koji prihvaćaju dijete onakvo kakvo je, te mu daju osjećaj da je vrijedno i sposobno. Kritiziranje i omalovažavanje, pretjerano kontroliranje i naređivanje vodi do niskog samopoštovanja, a dijete se može bojati započeti neku aktivnost jer neće vjerovati u sebe. U drugom i trećem razredu djeca koja imaju problema s učenjem imaju loše školsko samopoimanje.</w:t>
      </w:r>
    </w:p>
    <w:p w:rsidR="00CF562B" w:rsidRPr="008970D3" w:rsidRDefault="00CF562B" w:rsidP="008970D3">
      <w:pPr>
        <w:pStyle w:val="Bezproreda"/>
        <w:ind w:left="-567" w:right="-567" w:firstLine="567"/>
        <w:jc w:val="both"/>
      </w:pPr>
      <w:r>
        <w:t xml:space="preserve">Igra je glavna aktivnost </w:t>
      </w:r>
      <w:proofErr w:type="spellStart"/>
      <w:r>
        <w:t>predškolca</w:t>
      </w:r>
      <w:proofErr w:type="spellEnd"/>
      <w:r>
        <w:t xml:space="preserve">, spontana je važna za razvoj i pokazivanje svojih sposobnosti, sklonosti, potreba. Ali, ona je potreba i školskog djeteta. Obilježja igre se mijenjaju s dobi djeteta, pa u predškolskoj dobi postaje složenija i maštovitija, djeca počinju razumijevati više pravila. U igri ponavljaju odnose koje su primijetili. Igrajući se, dijete se navikava na suradnju, kontrolira svoje motoričke aktivnosti, ponašanje, uči se biti koncentriran, jasno planira i izražava svoje zamisli, razvija maštu. U nižim razredima škole djeca se vole igrati po modelu, proživljavati što su doživjeli ili se pripremiti za iduće. Tako mogu ublažiti neke strahove i prihvatiti različite emocionalno zahtjevne situacije. </w:t>
      </w:r>
    </w:p>
    <w:p w:rsidR="00CF562B" w:rsidRDefault="00CF562B" w:rsidP="008970D3">
      <w:pPr>
        <w:spacing w:line="240" w:lineRule="auto"/>
        <w:ind w:left="4389" w:right="-567" w:firstLine="567"/>
        <w:jc w:val="both"/>
      </w:pPr>
    </w:p>
    <w:p w:rsidR="00CF562B" w:rsidRDefault="00CF562B" w:rsidP="002E7F09">
      <w:pPr>
        <w:spacing w:line="240" w:lineRule="auto"/>
        <w:ind w:left="4389" w:right="-567" w:hanging="429"/>
        <w:jc w:val="both"/>
      </w:pPr>
      <w:r w:rsidRPr="008970D3">
        <w:t>P</w:t>
      </w:r>
      <w:r>
        <w:t xml:space="preserve">ripremila: </w:t>
      </w:r>
      <w:proofErr w:type="spellStart"/>
      <w:r>
        <w:t>Ivna</w:t>
      </w:r>
      <w:proofErr w:type="spellEnd"/>
      <w:r>
        <w:t xml:space="preserve"> Grbavac, stručni suradnik psiholog</w:t>
      </w:r>
    </w:p>
    <w:p w:rsidR="00CF562B" w:rsidRPr="008970D3" w:rsidRDefault="00CF562B" w:rsidP="002E7F09">
      <w:pPr>
        <w:spacing w:line="240" w:lineRule="auto"/>
        <w:ind w:left="4389" w:right="-567" w:hanging="429"/>
        <w:jc w:val="both"/>
      </w:pPr>
      <w:r>
        <w:tab/>
      </w:r>
      <w:r>
        <w:tab/>
      </w:r>
      <w:r w:rsidRPr="008970D3">
        <w:t>Osnovna škola Trilj</w:t>
      </w:r>
      <w:r w:rsidR="00751997">
        <w:t>, svibanj 2018</w:t>
      </w:r>
      <w:bookmarkStart w:id="0" w:name="_GoBack"/>
      <w:bookmarkEnd w:id="0"/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  <w:r w:rsidRPr="008970D3">
        <w:t>Korištena literatura:</w:t>
      </w:r>
    </w:p>
    <w:p w:rsidR="00CF562B" w:rsidRDefault="00CF562B" w:rsidP="00977793">
      <w:pPr>
        <w:spacing w:line="240" w:lineRule="auto"/>
        <w:ind w:right="-567"/>
        <w:jc w:val="both"/>
      </w:pPr>
      <w:r w:rsidRPr="008970D3">
        <w:t xml:space="preserve">Grbić, k., </w:t>
      </w:r>
      <w:proofErr w:type="spellStart"/>
      <w:r w:rsidRPr="008970D3">
        <w:t>Sindik</w:t>
      </w:r>
      <w:proofErr w:type="spellEnd"/>
      <w:r w:rsidRPr="008970D3">
        <w:t>, J., Vuko, M. (2012), Konstrukcija i prelimina</w:t>
      </w:r>
      <w:r>
        <w:t>rna</w:t>
      </w:r>
      <w:r w:rsidRPr="008970D3">
        <w:t xml:space="preserve"> validacija testa spremnosti za školu, Zagreb: Metodički obzori</w:t>
      </w:r>
    </w:p>
    <w:p w:rsidR="00CF562B" w:rsidRDefault="00CF562B" w:rsidP="008970D3">
      <w:pPr>
        <w:spacing w:line="240" w:lineRule="auto"/>
        <w:ind w:left="-567" w:right="-567" w:firstLine="567"/>
        <w:jc w:val="both"/>
      </w:pPr>
      <w:r>
        <w:t>Hitrec, G. (1991), Kako pripremiti dijete za školu, Zagreb: Školska knjiga</w:t>
      </w:r>
    </w:p>
    <w:p w:rsidR="00CF562B" w:rsidRDefault="00CF562B" w:rsidP="00D14BF9">
      <w:pPr>
        <w:spacing w:line="240" w:lineRule="auto"/>
        <w:ind w:left="-567" w:right="-567" w:firstLine="567"/>
        <w:jc w:val="both"/>
      </w:pPr>
      <w:proofErr w:type="spellStart"/>
      <w:r w:rsidRPr="008970D3">
        <w:t>Likierman</w:t>
      </w:r>
      <w:proofErr w:type="spellEnd"/>
      <w:r w:rsidRPr="008970D3">
        <w:t xml:space="preserve">, H., </w:t>
      </w:r>
      <w:proofErr w:type="spellStart"/>
      <w:r w:rsidRPr="008970D3">
        <w:t>Muter</w:t>
      </w:r>
      <w:proofErr w:type="spellEnd"/>
      <w:r w:rsidRPr="008970D3">
        <w:t>, V. (2007), Pripremite dijete za školu, Zagreb: Ostvarenje</w:t>
      </w:r>
      <w:r w:rsidRPr="00D14BF9">
        <w:t xml:space="preserve"> </w:t>
      </w: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  <w:proofErr w:type="spellStart"/>
      <w:r w:rsidRPr="008970D3">
        <w:t>Vasta</w:t>
      </w:r>
      <w:proofErr w:type="spellEnd"/>
      <w:r w:rsidRPr="008970D3">
        <w:t xml:space="preserve">, R., </w:t>
      </w:r>
      <w:proofErr w:type="spellStart"/>
      <w:r w:rsidRPr="008970D3">
        <w:t>Haith</w:t>
      </w:r>
      <w:proofErr w:type="spellEnd"/>
      <w:r w:rsidRPr="008970D3">
        <w:t xml:space="preserve"> M., Miller S. (1998), Dječja psihologija, Jastrebarsko: Naklada Slap</w:t>
      </w: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</w:p>
    <w:p w:rsidR="00CF562B" w:rsidRPr="008970D3" w:rsidRDefault="00CF562B" w:rsidP="008970D3">
      <w:pPr>
        <w:pStyle w:val="Bezproreda"/>
        <w:ind w:left="-567" w:right="-567" w:firstLine="567"/>
        <w:jc w:val="both"/>
        <w:rPr>
          <w:rStyle w:val="Istaknutareferenca"/>
          <w:b w:val="0"/>
          <w:bCs w:val="0"/>
          <w:smallCaps w:val="0"/>
          <w:color w:val="auto"/>
        </w:rPr>
      </w:pPr>
    </w:p>
    <w:p w:rsidR="00CF562B" w:rsidRPr="008970D3" w:rsidRDefault="00CF562B" w:rsidP="008970D3">
      <w:pPr>
        <w:spacing w:line="240" w:lineRule="auto"/>
        <w:ind w:left="-567" w:right="-567" w:firstLine="567"/>
        <w:jc w:val="both"/>
      </w:pPr>
    </w:p>
    <w:sectPr w:rsidR="00CF562B" w:rsidRPr="008970D3" w:rsidSect="008C471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997"/>
    <w:multiLevelType w:val="hybridMultilevel"/>
    <w:tmpl w:val="4E42B8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C177B"/>
    <w:multiLevelType w:val="hybridMultilevel"/>
    <w:tmpl w:val="A656CB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A4428"/>
    <w:multiLevelType w:val="hybridMultilevel"/>
    <w:tmpl w:val="F61E7C0E"/>
    <w:lvl w:ilvl="0" w:tplc="0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BEE46A9"/>
    <w:multiLevelType w:val="hybridMultilevel"/>
    <w:tmpl w:val="F4725CBE"/>
    <w:lvl w:ilvl="0" w:tplc="041A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 w15:restartNumberingAfterBreak="0">
    <w:nsid w:val="42E91707"/>
    <w:multiLevelType w:val="hybridMultilevel"/>
    <w:tmpl w:val="6B88D3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A398F"/>
    <w:multiLevelType w:val="hybridMultilevel"/>
    <w:tmpl w:val="CE1A4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850"/>
    <w:multiLevelType w:val="hybridMultilevel"/>
    <w:tmpl w:val="7C8810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12F7F"/>
    <w:multiLevelType w:val="hybridMultilevel"/>
    <w:tmpl w:val="B2249C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667E8B"/>
    <w:multiLevelType w:val="hybridMultilevel"/>
    <w:tmpl w:val="4AC01F3A"/>
    <w:lvl w:ilvl="0" w:tplc="0D582F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41993"/>
    <w:multiLevelType w:val="hybridMultilevel"/>
    <w:tmpl w:val="7EECB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61AC"/>
    <w:multiLevelType w:val="hybridMultilevel"/>
    <w:tmpl w:val="7E72674E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62"/>
    <w:rsid w:val="0000478B"/>
    <w:rsid w:val="00066699"/>
    <w:rsid w:val="00081EFB"/>
    <w:rsid w:val="000A0459"/>
    <w:rsid w:val="000A1671"/>
    <w:rsid w:val="000D0D43"/>
    <w:rsid w:val="000E2062"/>
    <w:rsid w:val="00154915"/>
    <w:rsid w:val="00180BDE"/>
    <w:rsid w:val="001835DA"/>
    <w:rsid w:val="0018663F"/>
    <w:rsid w:val="001C2138"/>
    <w:rsid w:val="001F3032"/>
    <w:rsid w:val="00264285"/>
    <w:rsid w:val="002A5E7B"/>
    <w:rsid w:val="002E6931"/>
    <w:rsid w:val="002E7F09"/>
    <w:rsid w:val="003657EF"/>
    <w:rsid w:val="0037144C"/>
    <w:rsid w:val="00384EEC"/>
    <w:rsid w:val="0038620F"/>
    <w:rsid w:val="003B2612"/>
    <w:rsid w:val="003B574B"/>
    <w:rsid w:val="00415022"/>
    <w:rsid w:val="004949D4"/>
    <w:rsid w:val="004B4189"/>
    <w:rsid w:val="00526F06"/>
    <w:rsid w:val="00543CAE"/>
    <w:rsid w:val="00590C55"/>
    <w:rsid w:val="00590CB2"/>
    <w:rsid w:val="005B4832"/>
    <w:rsid w:val="005C55E5"/>
    <w:rsid w:val="005D33FE"/>
    <w:rsid w:val="005F2EEB"/>
    <w:rsid w:val="005F4CAC"/>
    <w:rsid w:val="00600A56"/>
    <w:rsid w:val="00662F08"/>
    <w:rsid w:val="006A4AE1"/>
    <w:rsid w:val="006D7415"/>
    <w:rsid w:val="006E4864"/>
    <w:rsid w:val="006F5BDE"/>
    <w:rsid w:val="00715881"/>
    <w:rsid w:val="00751997"/>
    <w:rsid w:val="00787950"/>
    <w:rsid w:val="00796D3C"/>
    <w:rsid w:val="007C65D0"/>
    <w:rsid w:val="007D6092"/>
    <w:rsid w:val="007E3264"/>
    <w:rsid w:val="007F0EA6"/>
    <w:rsid w:val="00832638"/>
    <w:rsid w:val="008970D3"/>
    <w:rsid w:val="008C4713"/>
    <w:rsid w:val="008C716E"/>
    <w:rsid w:val="00905945"/>
    <w:rsid w:val="00911046"/>
    <w:rsid w:val="00965ADC"/>
    <w:rsid w:val="00975382"/>
    <w:rsid w:val="00977793"/>
    <w:rsid w:val="00981A9B"/>
    <w:rsid w:val="009A171E"/>
    <w:rsid w:val="00A11829"/>
    <w:rsid w:val="00A441B8"/>
    <w:rsid w:val="00A476E9"/>
    <w:rsid w:val="00A519FF"/>
    <w:rsid w:val="00AA33DE"/>
    <w:rsid w:val="00B16B3F"/>
    <w:rsid w:val="00BA23D7"/>
    <w:rsid w:val="00BB273A"/>
    <w:rsid w:val="00BF1DCF"/>
    <w:rsid w:val="00C42393"/>
    <w:rsid w:val="00C81E93"/>
    <w:rsid w:val="00CD46DE"/>
    <w:rsid w:val="00CF562B"/>
    <w:rsid w:val="00D14BF9"/>
    <w:rsid w:val="00D4036E"/>
    <w:rsid w:val="00D60962"/>
    <w:rsid w:val="00E332F8"/>
    <w:rsid w:val="00E91046"/>
    <w:rsid w:val="00F77C99"/>
    <w:rsid w:val="00F816DC"/>
    <w:rsid w:val="00FB5E25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5A2506-8714-47C0-894B-2810CC3C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32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9"/>
    <w:qFormat/>
    <w:rsid w:val="005F4C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5F4C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F4CAC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F4CAC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Bezproreda">
    <w:name w:val="No Spacing"/>
    <w:uiPriority w:val="99"/>
    <w:qFormat/>
    <w:rsid w:val="009A171E"/>
    <w:rPr>
      <w:lang w:eastAsia="en-US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7D609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7D6092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Istaknutareferenca">
    <w:name w:val="Intense Reference"/>
    <w:basedOn w:val="Zadanifontodlomka"/>
    <w:uiPriority w:val="99"/>
    <w:qFormat/>
    <w:rsid w:val="007D6092"/>
    <w:rPr>
      <w:rFonts w:cs="Times New Roman"/>
      <w:b/>
      <w:bCs/>
      <w:smallCaps/>
      <w:color w:val="C0504D"/>
      <w:spacing w:val="5"/>
      <w:u w:val="single"/>
    </w:rPr>
  </w:style>
  <w:style w:type="character" w:styleId="Istaknuto">
    <w:name w:val="Emphasis"/>
    <w:basedOn w:val="Zadanifontodlomka"/>
    <w:uiPriority w:val="99"/>
    <w:qFormat/>
    <w:rsid w:val="007D6092"/>
    <w:rPr>
      <w:rFonts w:cs="Times New Roman"/>
      <w:i/>
      <w:iCs/>
    </w:rPr>
  </w:style>
  <w:style w:type="character" w:styleId="Neupadljivoisticanje">
    <w:name w:val="Subtle Emphasis"/>
    <w:basedOn w:val="Zadanifontodlomka"/>
    <w:uiPriority w:val="99"/>
    <w:qFormat/>
    <w:rsid w:val="007D6092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POČETAK ŠKOLE</vt:lpstr>
    </vt:vector>
  </TitlesOfParts>
  <Company/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POČETAK ŠKOLE</dc:title>
  <dc:subject/>
  <dc:creator>Ante</dc:creator>
  <cp:keywords/>
  <dc:description/>
  <cp:lastModifiedBy>Korisnik</cp:lastModifiedBy>
  <cp:revision>3</cp:revision>
  <dcterms:created xsi:type="dcterms:W3CDTF">2022-07-02T15:52:00Z</dcterms:created>
  <dcterms:modified xsi:type="dcterms:W3CDTF">2022-07-02T15:53:00Z</dcterms:modified>
</cp:coreProperties>
</file>